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00" w:rsidRPr="00F24A28" w:rsidRDefault="00F24A28" w:rsidP="006B7D00">
      <w:pPr>
        <w:spacing w:after="0"/>
        <w:jc w:val="both"/>
        <w:rPr>
          <w:rFonts w:ascii="Arial" w:eastAsia="Times New Roman" w:hAnsi="Arial" w:cs="Arial"/>
          <w:color w:val="000000"/>
          <w:sz w:val="32"/>
          <w:szCs w:val="32"/>
        </w:rPr>
      </w:pPr>
      <w:r w:rsidRPr="00F24A28">
        <w:rPr>
          <w:rFonts w:ascii="Arial" w:eastAsia="Times New Roman" w:hAnsi="Arial" w:cs="Arial"/>
          <w:color w:val="000000"/>
          <w:sz w:val="32"/>
          <w:szCs w:val="32"/>
        </w:rPr>
        <w:t>Transfusion Specimen Requirements and Time Frames</w:t>
      </w:r>
    </w:p>
    <w:p w:rsidR="00F24A28" w:rsidRDefault="00F24A28" w:rsidP="006B7D00">
      <w:pPr>
        <w:spacing w:after="0"/>
        <w:jc w:val="both"/>
        <w:rPr>
          <w:rFonts w:ascii="Arial" w:eastAsia="Times New Roman" w:hAnsi="Arial" w:cs="Arial"/>
          <w:color w:val="000000"/>
          <w:szCs w:val="20"/>
        </w:rPr>
      </w:pPr>
    </w:p>
    <w:p w:rsidR="006B7D00" w:rsidRPr="008C4378" w:rsidRDefault="006B7D00" w:rsidP="006B7D00">
      <w:pPr>
        <w:spacing w:after="0"/>
        <w:jc w:val="both"/>
        <w:rPr>
          <w:rFonts w:ascii="Arial" w:eastAsia="Times New Roman" w:hAnsi="Arial" w:cs="Arial"/>
          <w:color w:val="000000"/>
          <w:szCs w:val="20"/>
        </w:rPr>
      </w:pPr>
      <w:r w:rsidRPr="008C4378">
        <w:rPr>
          <w:rFonts w:ascii="Arial" w:eastAsia="Times New Roman" w:hAnsi="Arial" w:cs="Arial"/>
          <w:color w:val="000000"/>
          <w:szCs w:val="20"/>
        </w:rPr>
        <w:t>Transfusion specimen requirements</w:t>
      </w:r>
      <w:r w:rsidR="008C4378">
        <w:rPr>
          <w:rFonts w:ascii="Arial" w:eastAsia="Times New Roman" w:hAnsi="Arial" w:cs="Arial"/>
          <w:color w:val="000000"/>
          <w:szCs w:val="20"/>
        </w:rPr>
        <w:t xml:space="preserve"> (QEH)</w:t>
      </w:r>
      <w:r w:rsidRPr="008C4378">
        <w:rPr>
          <w:rFonts w:ascii="Arial" w:eastAsia="Times New Roman" w:hAnsi="Arial" w:cs="Arial"/>
          <w:color w:val="000000"/>
          <w:szCs w:val="20"/>
        </w:rPr>
        <w:t>:</w:t>
      </w:r>
    </w:p>
    <w:p w:rsidR="006B7D00" w:rsidRPr="00743953" w:rsidRDefault="006B7D00" w:rsidP="006B7D00">
      <w:pPr>
        <w:spacing w:after="0" w:line="240" w:lineRule="auto"/>
        <w:rPr>
          <w:rFonts w:eastAsia="Times New Roman" w:cstheme="minorHAnsi"/>
          <w:b/>
          <w:sz w:val="8"/>
          <w:szCs w:val="20"/>
        </w:rPr>
      </w:pPr>
    </w:p>
    <w:p w:rsidR="006B7D00" w:rsidRPr="00743953" w:rsidRDefault="006B7D00" w:rsidP="006B7D00">
      <w:pPr>
        <w:spacing w:after="0" w:line="240" w:lineRule="auto"/>
        <w:rPr>
          <w:rFonts w:eastAsia="Times New Roman" w:cstheme="minorHAnsi"/>
          <w:b/>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3"/>
        <w:gridCol w:w="4594"/>
      </w:tblGrid>
      <w:tr w:rsidR="006B7D00" w:rsidRPr="008C4378" w:rsidTr="00FF42C8">
        <w:trPr>
          <w:trHeight w:val="371"/>
          <w:jc w:val="center"/>
        </w:trPr>
        <w:tc>
          <w:tcPr>
            <w:tcW w:w="4593" w:type="dxa"/>
            <w:tcBorders>
              <w:top w:val="single" w:sz="4" w:space="0" w:color="auto"/>
              <w:left w:val="single" w:sz="4" w:space="0" w:color="auto"/>
              <w:bottom w:val="single" w:sz="4" w:space="0" w:color="auto"/>
              <w:right w:val="single" w:sz="4" w:space="0" w:color="auto"/>
            </w:tcBorders>
            <w:vAlign w:val="center"/>
            <w:hideMark/>
          </w:tcPr>
          <w:p w:rsidR="006B7D00" w:rsidRPr="008C4378" w:rsidRDefault="006B7D00" w:rsidP="00166DE7">
            <w:pPr>
              <w:spacing w:after="0" w:line="240" w:lineRule="auto"/>
              <w:rPr>
                <w:rFonts w:ascii="Arial" w:eastAsia="Times New Roman" w:hAnsi="Arial" w:cs="Arial"/>
                <w:b/>
              </w:rPr>
            </w:pPr>
            <w:r w:rsidRPr="008C4378">
              <w:rPr>
                <w:rFonts w:ascii="Arial" w:eastAsia="Times New Roman" w:hAnsi="Arial" w:cs="Arial"/>
                <w:b/>
              </w:rPr>
              <w:t>Test</w:t>
            </w:r>
          </w:p>
        </w:tc>
        <w:tc>
          <w:tcPr>
            <w:tcW w:w="4594" w:type="dxa"/>
            <w:tcBorders>
              <w:top w:val="single" w:sz="4" w:space="0" w:color="auto"/>
              <w:left w:val="single" w:sz="4" w:space="0" w:color="auto"/>
              <w:bottom w:val="single" w:sz="4" w:space="0" w:color="auto"/>
              <w:right w:val="single" w:sz="4" w:space="0" w:color="auto"/>
            </w:tcBorders>
            <w:vAlign w:val="center"/>
            <w:hideMark/>
          </w:tcPr>
          <w:p w:rsidR="006B7D00" w:rsidRPr="008C4378" w:rsidRDefault="006B7D00" w:rsidP="00166DE7">
            <w:pPr>
              <w:spacing w:after="0" w:line="240" w:lineRule="auto"/>
              <w:rPr>
                <w:rFonts w:ascii="Arial" w:eastAsia="Times New Roman" w:hAnsi="Arial" w:cs="Arial"/>
                <w:b/>
              </w:rPr>
            </w:pPr>
            <w:r w:rsidRPr="008C4378">
              <w:rPr>
                <w:rFonts w:ascii="Arial" w:eastAsia="Times New Roman" w:hAnsi="Arial" w:cs="Arial"/>
                <w:b/>
              </w:rPr>
              <w:t>Specimen(s)</w:t>
            </w:r>
          </w:p>
        </w:tc>
      </w:tr>
      <w:tr w:rsidR="006B7D00" w:rsidRPr="008C4378" w:rsidTr="00FF42C8">
        <w:trPr>
          <w:trHeight w:val="270"/>
          <w:jc w:val="center"/>
        </w:trPr>
        <w:tc>
          <w:tcPr>
            <w:tcW w:w="4593" w:type="dxa"/>
            <w:tcBorders>
              <w:top w:val="single" w:sz="4" w:space="0" w:color="auto"/>
              <w:left w:val="single" w:sz="4" w:space="0" w:color="auto"/>
              <w:bottom w:val="single" w:sz="4" w:space="0" w:color="auto"/>
              <w:right w:val="single" w:sz="4" w:space="0" w:color="auto"/>
            </w:tcBorders>
            <w:vAlign w:val="center"/>
            <w:hideMark/>
          </w:tcPr>
          <w:p w:rsidR="006B7D00" w:rsidRPr="008C4378" w:rsidRDefault="006B7D00" w:rsidP="00166DE7">
            <w:pPr>
              <w:spacing w:after="0" w:line="240" w:lineRule="auto"/>
              <w:rPr>
                <w:rFonts w:ascii="Arial" w:eastAsia="Times New Roman" w:hAnsi="Arial" w:cs="Arial"/>
                <w:b/>
              </w:rPr>
            </w:pPr>
            <w:r w:rsidRPr="008C4378">
              <w:rPr>
                <w:rFonts w:ascii="Arial" w:eastAsia="Times New Roman" w:hAnsi="Arial" w:cs="Arial"/>
              </w:rPr>
              <w:t>Blood group, antibody screen, cross match</w:t>
            </w:r>
          </w:p>
        </w:tc>
        <w:tc>
          <w:tcPr>
            <w:tcW w:w="4594" w:type="dxa"/>
            <w:tcBorders>
              <w:top w:val="single" w:sz="4" w:space="0" w:color="auto"/>
              <w:left w:val="single" w:sz="4" w:space="0" w:color="auto"/>
              <w:bottom w:val="single" w:sz="4" w:space="0" w:color="auto"/>
              <w:right w:val="single" w:sz="4" w:space="0" w:color="auto"/>
            </w:tcBorders>
            <w:vAlign w:val="center"/>
            <w:hideMark/>
          </w:tcPr>
          <w:p w:rsidR="006B7D00" w:rsidRPr="008C4378" w:rsidRDefault="006B7D00" w:rsidP="00166DE7">
            <w:pPr>
              <w:spacing w:after="0" w:line="240" w:lineRule="auto"/>
              <w:rPr>
                <w:rFonts w:ascii="Arial" w:eastAsia="Times New Roman" w:hAnsi="Arial" w:cs="Arial"/>
                <w:b/>
              </w:rPr>
            </w:pPr>
            <w:r w:rsidRPr="008C4378">
              <w:rPr>
                <w:rFonts w:ascii="Arial" w:eastAsia="Times New Roman" w:hAnsi="Arial" w:cs="Arial"/>
              </w:rPr>
              <w:t>1 x lavender EDTA 6ml</w:t>
            </w:r>
          </w:p>
        </w:tc>
      </w:tr>
      <w:tr w:rsidR="006B7D00" w:rsidRPr="008C4378" w:rsidTr="00FF42C8">
        <w:trPr>
          <w:trHeight w:val="270"/>
          <w:jc w:val="center"/>
        </w:trPr>
        <w:tc>
          <w:tcPr>
            <w:tcW w:w="4593" w:type="dxa"/>
            <w:tcBorders>
              <w:top w:val="single" w:sz="4" w:space="0" w:color="auto"/>
              <w:left w:val="single" w:sz="4" w:space="0" w:color="auto"/>
              <w:bottom w:val="single" w:sz="4" w:space="0" w:color="auto"/>
              <w:right w:val="single" w:sz="4" w:space="0" w:color="auto"/>
            </w:tcBorders>
            <w:vAlign w:val="center"/>
            <w:hideMark/>
          </w:tcPr>
          <w:p w:rsidR="006B7D00" w:rsidRPr="008C4378" w:rsidRDefault="006B7D00" w:rsidP="00166DE7">
            <w:pPr>
              <w:spacing w:after="0" w:line="240" w:lineRule="auto"/>
              <w:rPr>
                <w:rFonts w:ascii="Arial" w:eastAsia="Times New Roman" w:hAnsi="Arial" w:cs="Arial"/>
                <w:b/>
              </w:rPr>
            </w:pPr>
            <w:r w:rsidRPr="008C4378">
              <w:rPr>
                <w:rFonts w:ascii="Arial" w:eastAsia="Times New Roman" w:hAnsi="Arial" w:cs="Arial"/>
              </w:rPr>
              <w:t>Neonatal blood group, cross match</w:t>
            </w:r>
          </w:p>
        </w:tc>
        <w:tc>
          <w:tcPr>
            <w:tcW w:w="4594" w:type="dxa"/>
            <w:tcBorders>
              <w:top w:val="single" w:sz="4" w:space="0" w:color="auto"/>
              <w:left w:val="single" w:sz="4" w:space="0" w:color="auto"/>
              <w:bottom w:val="single" w:sz="4" w:space="0" w:color="auto"/>
              <w:right w:val="single" w:sz="4" w:space="0" w:color="auto"/>
            </w:tcBorders>
            <w:vAlign w:val="center"/>
            <w:hideMark/>
          </w:tcPr>
          <w:p w:rsidR="006B7D00" w:rsidRPr="008C4378" w:rsidRDefault="006B7D00" w:rsidP="00166DE7">
            <w:pPr>
              <w:spacing w:after="0" w:line="240" w:lineRule="auto"/>
              <w:rPr>
                <w:rFonts w:ascii="Arial" w:eastAsia="Times New Roman" w:hAnsi="Arial" w:cs="Arial"/>
                <w:b/>
              </w:rPr>
            </w:pPr>
            <w:r w:rsidRPr="008C4378">
              <w:rPr>
                <w:rFonts w:ascii="Arial" w:eastAsia="Times New Roman" w:hAnsi="Arial" w:cs="Arial"/>
              </w:rPr>
              <w:t>Paediatric EDTA</w:t>
            </w:r>
          </w:p>
        </w:tc>
      </w:tr>
      <w:tr w:rsidR="006B7D00" w:rsidRPr="008C4378" w:rsidTr="00FF42C8">
        <w:trPr>
          <w:trHeight w:val="255"/>
          <w:jc w:val="center"/>
        </w:trPr>
        <w:tc>
          <w:tcPr>
            <w:tcW w:w="4593" w:type="dxa"/>
            <w:tcBorders>
              <w:top w:val="single" w:sz="4" w:space="0" w:color="auto"/>
              <w:left w:val="single" w:sz="4" w:space="0" w:color="auto"/>
              <w:bottom w:val="single" w:sz="4" w:space="0" w:color="auto"/>
              <w:right w:val="single" w:sz="4" w:space="0" w:color="auto"/>
            </w:tcBorders>
            <w:vAlign w:val="center"/>
            <w:hideMark/>
          </w:tcPr>
          <w:p w:rsidR="006B7D00" w:rsidRPr="008C4378" w:rsidRDefault="006B7D00" w:rsidP="00166DE7">
            <w:pPr>
              <w:spacing w:after="0" w:line="240" w:lineRule="auto"/>
              <w:rPr>
                <w:rFonts w:ascii="Arial" w:eastAsia="Times New Roman" w:hAnsi="Arial" w:cs="Arial"/>
                <w:b/>
              </w:rPr>
            </w:pPr>
            <w:r w:rsidRPr="008C4378">
              <w:rPr>
                <w:rFonts w:ascii="Arial" w:eastAsia="Times New Roman" w:hAnsi="Arial" w:cs="Arial"/>
              </w:rPr>
              <w:t>Child age &gt;4 months</w:t>
            </w:r>
          </w:p>
        </w:tc>
        <w:tc>
          <w:tcPr>
            <w:tcW w:w="4594" w:type="dxa"/>
            <w:tcBorders>
              <w:top w:val="single" w:sz="4" w:space="0" w:color="auto"/>
              <w:left w:val="single" w:sz="4" w:space="0" w:color="auto"/>
              <w:bottom w:val="single" w:sz="4" w:space="0" w:color="auto"/>
              <w:right w:val="single" w:sz="4" w:space="0" w:color="auto"/>
            </w:tcBorders>
            <w:vAlign w:val="center"/>
            <w:hideMark/>
          </w:tcPr>
          <w:p w:rsidR="006B7D00" w:rsidRPr="008C4378" w:rsidRDefault="006B7D00" w:rsidP="00166DE7">
            <w:pPr>
              <w:spacing w:after="0" w:line="240" w:lineRule="auto"/>
              <w:rPr>
                <w:rFonts w:ascii="Arial" w:eastAsia="Times New Roman" w:hAnsi="Arial" w:cs="Arial"/>
                <w:b/>
              </w:rPr>
            </w:pPr>
            <w:r w:rsidRPr="008C4378">
              <w:rPr>
                <w:rFonts w:ascii="Arial" w:eastAsia="Times New Roman" w:hAnsi="Arial" w:cs="Arial"/>
              </w:rPr>
              <w:t>1 x lavender EDTA 3ml</w:t>
            </w:r>
          </w:p>
        </w:tc>
      </w:tr>
      <w:tr w:rsidR="006B7D00" w:rsidRPr="008C4378" w:rsidTr="00FF42C8">
        <w:trPr>
          <w:trHeight w:val="270"/>
          <w:jc w:val="center"/>
        </w:trPr>
        <w:tc>
          <w:tcPr>
            <w:tcW w:w="4593" w:type="dxa"/>
            <w:tcBorders>
              <w:top w:val="single" w:sz="4" w:space="0" w:color="auto"/>
              <w:left w:val="single" w:sz="4" w:space="0" w:color="auto"/>
              <w:bottom w:val="single" w:sz="4" w:space="0" w:color="auto"/>
              <w:right w:val="single" w:sz="4" w:space="0" w:color="auto"/>
            </w:tcBorders>
            <w:vAlign w:val="center"/>
            <w:hideMark/>
          </w:tcPr>
          <w:p w:rsidR="006B7D00" w:rsidRPr="008C4378" w:rsidRDefault="006B7D00" w:rsidP="00166DE7">
            <w:pPr>
              <w:spacing w:after="0" w:line="240" w:lineRule="auto"/>
              <w:rPr>
                <w:rFonts w:ascii="Arial" w:eastAsia="Times New Roman" w:hAnsi="Arial" w:cs="Arial"/>
                <w:b/>
              </w:rPr>
            </w:pPr>
            <w:r w:rsidRPr="008C4378">
              <w:rPr>
                <w:rFonts w:ascii="Arial" w:eastAsia="Times New Roman" w:hAnsi="Arial" w:cs="Arial"/>
              </w:rPr>
              <w:t xml:space="preserve">Direct </w:t>
            </w:r>
            <w:proofErr w:type="spellStart"/>
            <w:r w:rsidRPr="008C4378">
              <w:rPr>
                <w:rFonts w:ascii="Arial" w:eastAsia="Times New Roman" w:hAnsi="Arial" w:cs="Arial"/>
              </w:rPr>
              <w:t>antiglobulin</w:t>
            </w:r>
            <w:proofErr w:type="spellEnd"/>
            <w:r w:rsidRPr="008C4378">
              <w:rPr>
                <w:rFonts w:ascii="Arial" w:eastAsia="Times New Roman" w:hAnsi="Arial" w:cs="Arial"/>
              </w:rPr>
              <w:t xml:space="preserve"> (Coombs) Test  </w:t>
            </w:r>
          </w:p>
        </w:tc>
        <w:tc>
          <w:tcPr>
            <w:tcW w:w="4594" w:type="dxa"/>
            <w:tcBorders>
              <w:top w:val="single" w:sz="4" w:space="0" w:color="auto"/>
              <w:left w:val="single" w:sz="4" w:space="0" w:color="auto"/>
              <w:bottom w:val="single" w:sz="4" w:space="0" w:color="auto"/>
              <w:right w:val="single" w:sz="4" w:space="0" w:color="auto"/>
            </w:tcBorders>
            <w:vAlign w:val="center"/>
            <w:hideMark/>
          </w:tcPr>
          <w:p w:rsidR="006B7D00" w:rsidRPr="008C4378" w:rsidRDefault="006B7D00" w:rsidP="00166DE7">
            <w:pPr>
              <w:spacing w:after="0" w:line="240" w:lineRule="auto"/>
              <w:rPr>
                <w:rFonts w:ascii="Arial" w:eastAsia="Times New Roman" w:hAnsi="Arial" w:cs="Arial"/>
                <w:b/>
              </w:rPr>
            </w:pPr>
            <w:r w:rsidRPr="008C4378">
              <w:rPr>
                <w:rFonts w:ascii="Arial" w:eastAsia="Times New Roman" w:hAnsi="Arial" w:cs="Arial"/>
              </w:rPr>
              <w:t>1 x lavender EDTA 6ml</w:t>
            </w:r>
          </w:p>
        </w:tc>
      </w:tr>
      <w:tr w:rsidR="006B7D00" w:rsidRPr="008C4378" w:rsidTr="00FF42C8">
        <w:trPr>
          <w:trHeight w:val="270"/>
          <w:jc w:val="center"/>
        </w:trPr>
        <w:tc>
          <w:tcPr>
            <w:tcW w:w="4593" w:type="dxa"/>
            <w:tcBorders>
              <w:top w:val="single" w:sz="4" w:space="0" w:color="auto"/>
              <w:left w:val="single" w:sz="4" w:space="0" w:color="auto"/>
              <w:bottom w:val="single" w:sz="4" w:space="0" w:color="auto"/>
              <w:right w:val="single" w:sz="4" w:space="0" w:color="auto"/>
            </w:tcBorders>
            <w:vAlign w:val="center"/>
            <w:hideMark/>
          </w:tcPr>
          <w:p w:rsidR="006B7D00" w:rsidRPr="008C4378" w:rsidRDefault="006B7D00" w:rsidP="00166DE7">
            <w:pPr>
              <w:spacing w:after="0" w:line="240" w:lineRule="auto"/>
              <w:rPr>
                <w:rFonts w:ascii="Arial" w:eastAsia="Times New Roman" w:hAnsi="Arial" w:cs="Arial"/>
                <w:b/>
              </w:rPr>
            </w:pPr>
            <w:proofErr w:type="spellStart"/>
            <w:r w:rsidRPr="008C4378">
              <w:rPr>
                <w:rFonts w:ascii="Arial" w:eastAsia="Times New Roman" w:hAnsi="Arial" w:cs="Arial"/>
              </w:rPr>
              <w:t>Kleihauer</w:t>
            </w:r>
            <w:proofErr w:type="spellEnd"/>
            <w:r w:rsidRPr="008C4378">
              <w:rPr>
                <w:rFonts w:ascii="Arial" w:eastAsia="Times New Roman" w:hAnsi="Arial" w:cs="Arial"/>
              </w:rPr>
              <w:t xml:space="preserve"> Test                                   </w:t>
            </w:r>
          </w:p>
        </w:tc>
        <w:tc>
          <w:tcPr>
            <w:tcW w:w="4594" w:type="dxa"/>
            <w:tcBorders>
              <w:top w:val="single" w:sz="4" w:space="0" w:color="auto"/>
              <w:left w:val="single" w:sz="4" w:space="0" w:color="auto"/>
              <w:bottom w:val="single" w:sz="4" w:space="0" w:color="auto"/>
              <w:right w:val="single" w:sz="4" w:space="0" w:color="auto"/>
            </w:tcBorders>
            <w:vAlign w:val="center"/>
            <w:hideMark/>
          </w:tcPr>
          <w:p w:rsidR="006B7D00" w:rsidRPr="008C4378" w:rsidRDefault="006B7D00" w:rsidP="00166DE7">
            <w:pPr>
              <w:spacing w:after="0" w:line="240" w:lineRule="auto"/>
              <w:rPr>
                <w:rFonts w:ascii="Arial" w:eastAsia="Times New Roman" w:hAnsi="Arial" w:cs="Arial"/>
                <w:b/>
              </w:rPr>
            </w:pPr>
            <w:r w:rsidRPr="008C4378">
              <w:rPr>
                <w:rFonts w:ascii="Arial" w:eastAsia="Times New Roman" w:hAnsi="Arial" w:cs="Arial"/>
              </w:rPr>
              <w:t>1 lavender 3ml EDTA</w:t>
            </w:r>
          </w:p>
        </w:tc>
      </w:tr>
    </w:tbl>
    <w:p w:rsidR="0093536A" w:rsidRDefault="0093536A">
      <w:pPr>
        <w:rPr>
          <w:rFonts w:ascii="Arial" w:hAnsi="Arial" w:cs="Arial"/>
        </w:rPr>
      </w:pPr>
    </w:p>
    <w:p w:rsidR="008C4378" w:rsidRPr="008C4378" w:rsidRDefault="008C4378">
      <w:pPr>
        <w:rPr>
          <w:rFonts w:ascii="Arial" w:hAnsi="Arial" w:cs="Arial"/>
          <w:sz w:val="28"/>
          <w:szCs w:val="28"/>
        </w:rPr>
      </w:pPr>
      <w:r w:rsidRPr="008C4378">
        <w:rPr>
          <w:rFonts w:ascii="Arial" w:eastAsia="Times New Roman" w:hAnsi="Arial" w:cs="Arial"/>
          <w:sz w:val="28"/>
          <w:szCs w:val="28"/>
        </w:rPr>
        <w:t>JPUH</w:t>
      </w:r>
      <w:r w:rsidR="00FF42C8">
        <w:rPr>
          <w:rFonts w:ascii="Arial" w:eastAsia="Times New Roman" w:hAnsi="Arial" w:cs="Arial"/>
          <w:sz w:val="28"/>
          <w:szCs w:val="28"/>
        </w:rPr>
        <w:t xml:space="preserve"> Time Frames</w:t>
      </w:r>
    </w:p>
    <w:p w:rsidR="008C4378" w:rsidRPr="008C4378" w:rsidRDefault="008C4378" w:rsidP="008C4378">
      <w:pPr>
        <w:tabs>
          <w:tab w:val="left" w:pos="1134"/>
        </w:tabs>
        <w:spacing w:after="120" w:line="240" w:lineRule="auto"/>
        <w:rPr>
          <w:rFonts w:ascii="Arial" w:eastAsia="Times New Roman" w:hAnsi="Arial" w:cs="Arial"/>
        </w:rPr>
      </w:pPr>
      <w:r w:rsidRPr="008C4378">
        <w:rPr>
          <w:rFonts w:ascii="Arial" w:eastAsia="Times New Roman" w:hAnsi="Arial" w:cs="Arial"/>
        </w:rPr>
        <w:t>When requesting Platelets please ensure that you try to telephone your request to enable delivery within the following time frames:</w:t>
      </w:r>
    </w:p>
    <w:p w:rsidR="008C4378" w:rsidRPr="00946C24" w:rsidRDefault="008C4378" w:rsidP="008C4378">
      <w:pPr>
        <w:tabs>
          <w:tab w:val="left" w:pos="1134"/>
        </w:tabs>
        <w:spacing w:after="120" w:line="240" w:lineRule="auto"/>
        <w:rPr>
          <w:rFonts w:eastAsia="Times New Roman"/>
        </w:rPr>
      </w:pP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099"/>
        <w:gridCol w:w="2835"/>
      </w:tblGrid>
      <w:tr w:rsidR="008C4378" w:rsidRPr="00946C24" w:rsidTr="00FF42C8">
        <w:trPr>
          <w:jc w:val="center"/>
        </w:trPr>
        <w:tc>
          <w:tcPr>
            <w:tcW w:w="2296" w:type="dxa"/>
          </w:tcPr>
          <w:p w:rsidR="008C4378" w:rsidRPr="008C4378" w:rsidRDefault="008C4378" w:rsidP="00166DE7">
            <w:pPr>
              <w:tabs>
                <w:tab w:val="left" w:pos="1134"/>
              </w:tabs>
              <w:spacing w:after="120"/>
              <w:jc w:val="center"/>
              <w:rPr>
                <w:rFonts w:ascii="Arial" w:eastAsia="Times New Roman" w:hAnsi="Arial" w:cs="Arial"/>
                <w:b/>
              </w:rPr>
            </w:pPr>
            <w:r w:rsidRPr="008C4378">
              <w:rPr>
                <w:rFonts w:ascii="Arial" w:eastAsia="Times New Roman" w:hAnsi="Arial" w:cs="Arial"/>
                <w:b/>
              </w:rPr>
              <w:t>Order cut-off time</w:t>
            </w:r>
          </w:p>
        </w:tc>
        <w:tc>
          <w:tcPr>
            <w:tcW w:w="2099" w:type="dxa"/>
          </w:tcPr>
          <w:p w:rsidR="008C4378" w:rsidRPr="008C4378" w:rsidRDefault="008C4378" w:rsidP="00166DE7">
            <w:pPr>
              <w:tabs>
                <w:tab w:val="left" w:pos="1134"/>
              </w:tabs>
              <w:spacing w:after="120"/>
              <w:jc w:val="center"/>
              <w:rPr>
                <w:rFonts w:ascii="Arial" w:eastAsia="Times New Roman" w:hAnsi="Arial" w:cs="Arial"/>
                <w:b/>
              </w:rPr>
            </w:pPr>
            <w:r w:rsidRPr="008C4378">
              <w:rPr>
                <w:rFonts w:ascii="Arial" w:eastAsia="Times New Roman" w:hAnsi="Arial" w:cs="Arial"/>
                <w:b/>
              </w:rPr>
              <w:t>Delivery time</w:t>
            </w:r>
          </w:p>
        </w:tc>
        <w:tc>
          <w:tcPr>
            <w:tcW w:w="2835" w:type="dxa"/>
          </w:tcPr>
          <w:p w:rsidR="008C4378" w:rsidRPr="008C4378" w:rsidRDefault="008C4378" w:rsidP="00166DE7">
            <w:pPr>
              <w:tabs>
                <w:tab w:val="left" w:pos="1134"/>
              </w:tabs>
              <w:spacing w:after="120"/>
              <w:jc w:val="center"/>
              <w:rPr>
                <w:rFonts w:ascii="Arial" w:eastAsia="Times New Roman" w:hAnsi="Arial" w:cs="Arial"/>
                <w:b/>
              </w:rPr>
            </w:pPr>
            <w:r w:rsidRPr="008C4378">
              <w:rPr>
                <w:rFonts w:ascii="Arial" w:eastAsia="Times New Roman" w:hAnsi="Arial" w:cs="Arial"/>
                <w:b/>
              </w:rPr>
              <w:t>Delivery type</w:t>
            </w:r>
          </w:p>
        </w:tc>
      </w:tr>
      <w:tr w:rsidR="008C4378" w:rsidRPr="00946C24" w:rsidTr="00FF42C8">
        <w:trPr>
          <w:jc w:val="center"/>
        </w:trPr>
        <w:tc>
          <w:tcPr>
            <w:tcW w:w="2296" w:type="dxa"/>
          </w:tcPr>
          <w:p w:rsidR="008C4378" w:rsidRPr="008C4378" w:rsidRDefault="008C4378" w:rsidP="00166DE7">
            <w:pPr>
              <w:tabs>
                <w:tab w:val="left" w:pos="1134"/>
              </w:tabs>
              <w:spacing w:after="120"/>
              <w:jc w:val="center"/>
              <w:rPr>
                <w:rFonts w:ascii="Arial" w:eastAsia="Times New Roman" w:hAnsi="Arial" w:cs="Arial"/>
              </w:rPr>
            </w:pPr>
            <w:r w:rsidRPr="008C4378">
              <w:rPr>
                <w:rFonts w:ascii="Arial" w:eastAsia="Times New Roman" w:hAnsi="Arial" w:cs="Arial"/>
              </w:rPr>
              <w:t>08.30</w:t>
            </w:r>
          </w:p>
        </w:tc>
        <w:tc>
          <w:tcPr>
            <w:tcW w:w="2099" w:type="dxa"/>
          </w:tcPr>
          <w:p w:rsidR="008C4378" w:rsidRPr="008C4378" w:rsidRDefault="008C4378" w:rsidP="00166DE7">
            <w:pPr>
              <w:tabs>
                <w:tab w:val="left" w:pos="1134"/>
              </w:tabs>
              <w:spacing w:after="120"/>
              <w:jc w:val="center"/>
              <w:rPr>
                <w:rFonts w:ascii="Arial" w:eastAsia="Times New Roman" w:hAnsi="Arial" w:cs="Arial"/>
              </w:rPr>
            </w:pPr>
            <w:r w:rsidRPr="008C4378">
              <w:rPr>
                <w:rFonts w:ascii="Arial" w:eastAsia="Times New Roman" w:hAnsi="Arial" w:cs="Arial"/>
              </w:rPr>
              <w:t>Approx. 12.30</w:t>
            </w:r>
          </w:p>
        </w:tc>
        <w:tc>
          <w:tcPr>
            <w:tcW w:w="2835" w:type="dxa"/>
          </w:tcPr>
          <w:p w:rsidR="008C4378" w:rsidRPr="008C4378" w:rsidRDefault="008C4378" w:rsidP="00166DE7">
            <w:pPr>
              <w:tabs>
                <w:tab w:val="left" w:pos="1134"/>
              </w:tabs>
              <w:spacing w:after="120"/>
              <w:jc w:val="center"/>
              <w:rPr>
                <w:rFonts w:ascii="Arial" w:eastAsia="Times New Roman" w:hAnsi="Arial" w:cs="Arial"/>
              </w:rPr>
            </w:pPr>
            <w:r w:rsidRPr="008C4378">
              <w:rPr>
                <w:rFonts w:ascii="Arial" w:eastAsia="Times New Roman" w:hAnsi="Arial" w:cs="Arial"/>
              </w:rPr>
              <w:t>Routine</w:t>
            </w:r>
          </w:p>
        </w:tc>
      </w:tr>
      <w:tr w:rsidR="008C4378" w:rsidRPr="00946C24" w:rsidTr="00FF42C8">
        <w:trPr>
          <w:jc w:val="center"/>
        </w:trPr>
        <w:tc>
          <w:tcPr>
            <w:tcW w:w="2296" w:type="dxa"/>
          </w:tcPr>
          <w:p w:rsidR="008C4378" w:rsidRPr="008C4378" w:rsidRDefault="008C4378" w:rsidP="00166DE7">
            <w:pPr>
              <w:tabs>
                <w:tab w:val="left" w:pos="1134"/>
              </w:tabs>
              <w:spacing w:after="120"/>
              <w:jc w:val="center"/>
              <w:rPr>
                <w:rFonts w:ascii="Arial" w:eastAsia="Times New Roman" w:hAnsi="Arial" w:cs="Arial"/>
              </w:rPr>
            </w:pPr>
            <w:r w:rsidRPr="008C4378">
              <w:rPr>
                <w:rFonts w:ascii="Arial" w:eastAsia="Times New Roman" w:hAnsi="Arial" w:cs="Arial"/>
              </w:rPr>
              <w:t>11.30</w:t>
            </w:r>
          </w:p>
        </w:tc>
        <w:tc>
          <w:tcPr>
            <w:tcW w:w="2099" w:type="dxa"/>
          </w:tcPr>
          <w:p w:rsidR="008C4378" w:rsidRPr="008C4378" w:rsidRDefault="008C4378" w:rsidP="00166DE7">
            <w:pPr>
              <w:tabs>
                <w:tab w:val="left" w:pos="1134"/>
              </w:tabs>
              <w:spacing w:after="120"/>
              <w:jc w:val="center"/>
              <w:rPr>
                <w:rFonts w:ascii="Arial" w:eastAsia="Times New Roman" w:hAnsi="Arial" w:cs="Arial"/>
              </w:rPr>
            </w:pPr>
            <w:r w:rsidRPr="008C4378">
              <w:rPr>
                <w:rFonts w:ascii="Arial" w:eastAsia="Times New Roman" w:hAnsi="Arial" w:cs="Arial"/>
              </w:rPr>
              <w:t>Approx. 15.30</w:t>
            </w:r>
          </w:p>
        </w:tc>
        <w:tc>
          <w:tcPr>
            <w:tcW w:w="2835" w:type="dxa"/>
          </w:tcPr>
          <w:p w:rsidR="008C4378" w:rsidRPr="008C4378" w:rsidRDefault="008C4378" w:rsidP="00166DE7">
            <w:pPr>
              <w:tabs>
                <w:tab w:val="left" w:pos="1134"/>
              </w:tabs>
              <w:spacing w:after="120"/>
              <w:jc w:val="center"/>
              <w:rPr>
                <w:rFonts w:ascii="Arial" w:eastAsia="Times New Roman" w:hAnsi="Arial" w:cs="Arial"/>
              </w:rPr>
            </w:pPr>
            <w:r w:rsidRPr="008C4378">
              <w:rPr>
                <w:rFonts w:ascii="Arial" w:eastAsia="Times New Roman" w:hAnsi="Arial" w:cs="Arial"/>
              </w:rPr>
              <w:t>Ad Hoc</w:t>
            </w:r>
          </w:p>
        </w:tc>
      </w:tr>
      <w:tr w:rsidR="008C4378" w:rsidRPr="00946C24" w:rsidTr="00FF42C8">
        <w:trPr>
          <w:jc w:val="center"/>
        </w:trPr>
        <w:tc>
          <w:tcPr>
            <w:tcW w:w="2296" w:type="dxa"/>
          </w:tcPr>
          <w:p w:rsidR="008C4378" w:rsidRPr="008C4378" w:rsidRDefault="008C4378" w:rsidP="00166DE7">
            <w:pPr>
              <w:tabs>
                <w:tab w:val="left" w:pos="1134"/>
              </w:tabs>
              <w:spacing w:after="120"/>
              <w:jc w:val="center"/>
              <w:rPr>
                <w:rFonts w:ascii="Arial" w:eastAsia="Times New Roman" w:hAnsi="Arial" w:cs="Arial"/>
              </w:rPr>
            </w:pPr>
            <w:r w:rsidRPr="008C4378">
              <w:rPr>
                <w:rFonts w:ascii="Arial" w:eastAsia="Times New Roman" w:hAnsi="Arial" w:cs="Arial"/>
              </w:rPr>
              <w:t>13.00</w:t>
            </w:r>
          </w:p>
        </w:tc>
        <w:tc>
          <w:tcPr>
            <w:tcW w:w="2099" w:type="dxa"/>
          </w:tcPr>
          <w:p w:rsidR="008C4378" w:rsidRPr="008C4378" w:rsidRDefault="008C4378" w:rsidP="00166DE7">
            <w:pPr>
              <w:tabs>
                <w:tab w:val="left" w:pos="1134"/>
              </w:tabs>
              <w:spacing w:after="120"/>
              <w:jc w:val="center"/>
              <w:rPr>
                <w:rFonts w:ascii="Arial" w:eastAsia="Times New Roman" w:hAnsi="Arial" w:cs="Arial"/>
              </w:rPr>
            </w:pPr>
            <w:r w:rsidRPr="008C4378">
              <w:rPr>
                <w:rFonts w:ascii="Arial" w:eastAsia="Times New Roman" w:hAnsi="Arial" w:cs="Arial"/>
              </w:rPr>
              <w:t>Approx. 18.00</w:t>
            </w:r>
          </w:p>
        </w:tc>
        <w:tc>
          <w:tcPr>
            <w:tcW w:w="2835" w:type="dxa"/>
          </w:tcPr>
          <w:p w:rsidR="008C4378" w:rsidRPr="008C4378" w:rsidRDefault="008C4378" w:rsidP="00166DE7">
            <w:pPr>
              <w:tabs>
                <w:tab w:val="left" w:pos="1134"/>
              </w:tabs>
              <w:spacing w:after="120"/>
              <w:jc w:val="center"/>
              <w:rPr>
                <w:rFonts w:ascii="Arial" w:eastAsia="Times New Roman" w:hAnsi="Arial" w:cs="Arial"/>
              </w:rPr>
            </w:pPr>
            <w:r w:rsidRPr="008C4378">
              <w:rPr>
                <w:rFonts w:ascii="Arial" w:eastAsia="Times New Roman" w:hAnsi="Arial" w:cs="Arial"/>
              </w:rPr>
              <w:t>Routine</w:t>
            </w:r>
          </w:p>
        </w:tc>
      </w:tr>
    </w:tbl>
    <w:p w:rsidR="008C4378" w:rsidRDefault="008C4378" w:rsidP="008C4378">
      <w:pPr>
        <w:spacing w:after="0" w:line="240" w:lineRule="auto"/>
        <w:rPr>
          <w:rFonts w:ascii="Arial" w:eastAsia="Times New Roman" w:hAnsi="Arial" w:cs="Arial"/>
          <w:color w:val="000000"/>
          <w:sz w:val="28"/>
          <w:szCs w:val="28"/>
        </w:rPr>
      </w:pPr>
    </w:p>
    <w:p w:rsidR="008C4378" w:rsidRDefault="008C4378" w:rsidP="008C4378">
      <w:pPr>
        <w:spacing w:after="0" w:line="240" w:lineRule="auto"/>
        <w:rPr>
          <w:rFonts w:ascii="Arial" w:eastAsia="Times New Roman" w:hAnsi="Arial" w:cs="Arial"/>
          <w:color w:val="000000"/>
          <w:sz w:val="28"/>
          <w:szCs w:val="28"/>
        </w:rPr>
      </w:pPr>
    </w:p>
    <w:p w:rsidR="008C4378" w:rsidRPr="008C4378" w:rsidRDefault="00FF42C8" w:rsidP="008C4378">
      <w:pPr>
        <w:spacing w:after="0" w:line="240" w:lineRule="auto"/>
        <w:rPr>
          <w:rFonts w:ascii="Times New Roman" w:eastAsia="Times New Roman" w:hAnsi="Times New Roman" w:cs="Times New Roman"/>
          <w:sz w:val="28"/>
          <w:szCs w:val="28"/>
        </w:rPr>
      </w:pPr>
      <w:r>
        <w:rPr>
          <w:rFonts w:ascii="Arial" w:eastAsia="Times New Roman" w:hAnsi="Arial" w:cs="Arial"/>
          <w:color w:val="000000"/>
          <w:sz w:val="28"/>
          <w:szCs w:val="28"/>
        </w:rPr>
        <w:t>NNUH Time Frames</w:t>
      </w:r>
    </w:p>
    <w:p w:rsidR="008C4378" w:rsidRDefault="008C4378"/>
    <w:p w:rsidR="008C4378" w:rsidRPr="008C4378" w:rsidRDefault="008C4378" w:rsidP="008C4378">
      <w:pPr>
        <w:spacing w:after="0" w:line="240" w:lineRule="auto"/>
        <w:rPr>
          <w:rFonts w:ascii="Times New Roman" w:eastAsia="Times New Roman" w:hAnsi="Times New Roman" w:cs="Times New Roman"/>
          <w:sz w:val="24"/>
          <w:szCs w:val="24"/>
        </w:rPr>
      </w:pPr>
      <w:r w:rsidRPr="008C4378">
        <w:rPr>
          <w:rFonts w:ascii="Arial" w:eastAsia="Times New Roman" w:hAnsi="Arial" w:cs="Arial"/>
          <w:color w:val="000000"/>
        </w:rPr>
        <w:t>If platelets are required then these may need to be requested from NHSBT specifically for the patient. In order to allow for delivery on the routine transport please contact the transfusion lab before the order cut off time.</w:t>
      </w:r>
      <w:r>
        <w:rPr>
          <w:rFonts w:ascii="Arial" w:eastAsia="Times New Roman" w:hAnsi="Arial" w:cs="Arial"/>
          <w:color w:val="000000"/>
        </w:rPr>
        <w:t xml:space="preserve"> </w:t>
      </w:r>
    </w:p>
    <w:p w:rsidR="008C4378" w:rsidRPr="008C4378" w:rsidRDefault="008C4378" w:rsidP="008C4378">
      <w:pPr>
        <w:spacing w:after="240" w:line="240" w:lineRule="auto"/>
        <w:rPr>
          <w:rFonts w:ascii="Times New Roman" w:eastAsia="Times New Roman" w:hAnsi="Times New Roman" w:cs="Times New Roman"/>
          <w:sz w:val="24"/>
          <w:szCs w:val="24"/>
        </w:rPr>
      </w:pPr>
    </w:p>
    <w:tbl>
      <w:tblPr>
        <w:tblW w:w="9048" w:type="dxa"/>
        <w:jc w:val="center"/>
        <w:tblCellMar>
          <w:top w:w="15" w:type="dxa"/>
          <w:left w:w="15" w:type="dxa"/>
          <w:bottom w:w="15" w:type="dxa"/>
          <w:right w:w="15" w:type="dxa"/>
        </w:tblCellMar>
        <w:tblLook w:val="04A0" w:firstRow="1" w:lastRow="0" w:firstColumn="1" w:lastColumn="0" w:noHBand="0" w:noVBand="1"/>
      </w:tblPr>
      <w:tblGrid>
        <w:gridCol w:w="3786"/>
        <w:gridCol w:w="5262"/>
      </w:tblGrid>
      <w:tr w:rsidR="008C4378" w:rsidRPr="008C4378" w:rsidTr="00FF42C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378" w:rsidRPr="008C4378" w:rsidRDefault="008C4378" w:rsidP="008C4378">
            <w:pPr>
              <w:spacing w:after="0" w:line="0" w:lineRule="atLeast"/>
              <w:jc w:val="center"/>
              <w:rPr>
                <w:rFonts w:ascii="Times New Roman" w:eastAsia="Times New Roman" w:hAnsi="Times New Roman" w:cs="Times New Roman"/>
                <w:sz w:val="24"/>
                <w:szCs w:val="24"/>
              </w:rPr>
            </w:pPr>
            <w:r w:rsidRPr="008C4378">
              <w:rPr>
                <w:rFonts w:ascii="Arial" w:eastAsia="Times New Roman" w:hAnsi="Arial" w:cs="Arial"/>
                <w:color w:val="000000"/>
              </w:rPr>
              <w:t>Order cut-off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378" w:rsidRPr="008C4378" w:rsidRDefault="008C4378" w:rsidP="008C4378">
            <w:pPr>
              <w:spacing w:after="0" w:line="0" w:lineRule="atLeast"/>
              <w:jc w:val="center"/>
              <w:rPr>
                <w:rFonts w:ascii="Times New Roman" w:eastAsia="Times New Roman" w:hAnsi="Times New Roman" w:cs="Times New Roman"/>
                <w:sz w:val="24"/>
                <w:szCs w:val="24"/>
              </w:rPr>
            </w:pPr>
            <w:r w:rsidRPr="008C4378">
              <w:rPr>
                <w:rFonts w:ascii="Arial" w:eastAsia="Times New Roman" w:hAnsi="Arial" w:cs="Arial"/>
                <w:color w:val="000000"/>
              </w:rPr>
              <w:t>Expected time of delivery</w:t>
            </w:r>
          </w:p>
        </w:tc>
      </w:tr>
      <w:tr w:rsidR="008C4378" w:rsidRPr="008C4378" w:rsidTr="00FF42C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378" w:rsidRPr="008C4378" w:rsidRDefault="008C4378" w:rsidP="008C4378">
            <w:pPr>
              <w:spacing w:after="0" w:line="0" w:lineRule="atLeast"/>
              <w:jc w:val="center"/>
              <w:rPr>
                <w:rFonts w:ascii="Times New Roman" w:eastAsia="Times New Roman" w:hAnsi="Times New Roman" w:cs="Times New Roman"/>
                <w:sz w:val="24"/>
                <w:szCs w:val="24"/>
              </w:rPr>
            </w:pPr>
            <w:r w:rsidRPr="008C4378">
              <w:rPr>
                <w:rFonts w:ascii="Arial" w:eastAsia="Times New Roman" w:hAnsi="Arial" w:cs="Arial"/>
                <w:color w:val="000000"/>
              </w:rPr>
              <w:t>08:00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378" w:rsidRPr="008C4378" w:rsidRDefault="008C4378" w:rsidP="008C4378">
            <w:pPr>
              <w:spacing w:after="0" w:line="0" w:lineRule="atLeast"/>
              <w:jc w:val="center"/>
              <w:rPr>
                <w:rFonts w:ascii="Times New Roman" w:eastAsia="Times New Roman" w:hAnsi="Times New Roman" w:cs="Times New Roman"/>
                <w:sz w:val="24"/>
                <w:szCs w:val="24"/>
              </w:rPr>
            </w:pPr>
            <w:r w:rsidRPr="008C4378">
              <w:rPr>
                <w:rFonts w:ascii="Arial" w:eastAsia="Times New Roman" w:hAnsi="Arial" w:cs="Arial"/>
                <w:color w:val="000000"/>
              </w:rPr>
              <w:t>11:00</w:t>
            </w:r>
          </w:p>
        </w:tc>
      </w:tr>
      <w:tr w:rsidR="008C4378" w:rsidRPr="008C4378" w:rsidTr="00FF42C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378" w:rsidRPr="008C4378" w:rsidRDefault="008C4378" w:rsidP="008C4378">
            <w:pPr>
              <w:spacing w:after="0" w:line="0" w:lineRule="atLeast"/>
              <w:jc w:val="center"/>
              <w:rPr>
                <w:rFonts w:ascii="Times New Roman" w:eastAsia="Times New Roman" w:hAnsi="Times New Roman" w:cs="Times New Roman"/>
                <w:sz w:val="24"/>
                <w:szCs w:val="24"/>
              </w:rPr>
            </w:pPr>
            <w:r w:rsidRPr="008C4378">
              <w:rPr>
                <w:rFonts w:ascii="Arial" w:eastAsia="Times New Roman" w:hAnsi="Arial" w:cs="Arial"/>
                <w:color w:val="000000"/>
              </w:rPr>
              <w:t>13:00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4378" w:rsidRPr="008C4378" w:rsidRDefault="008C4378" w:rsidP="008C4378">
            <w:pPr>
              <w:spacing w:after="0" w:line="0" w:lineRule="atLeast"/>
              <w:jc w:val="center"/>
              <w:rPr>
                <w:rFonts w:ascii="Times New Roman" w:eastAsia="Times New Roman" w:hAnsi="Times New Roman" w:cs="Times New Roman"/>
                <w:sz w:val="24"/>
                <w:szCs w:val="24"/>
              </w:rPr>
            </w:pPr>
            <w:r w:rsidRPr="008C4378">
              <w:rPr>
                <w:rFonts w:ascii="Arial" w:eastAsia="Times New Roman" w:hAnsi="Arial" w:cs="Arial"/>
                <w:color w:val="000000"/>
              </w:rPr>
              <w:t>17:00</w:t>
            </w:r>
          </w:p>
        </w:tc>
      </w:tr>
    </w:tbl>
    <w:p w:rsidR="008C4378" w:rsidRDefault="008C4378"/>
    <w:p w:rsidR="008C4378" w:rsidRPr="008C4378" w:rsidRDefault="00FF42C8" w:rsidP="008C4378">
      <w:pPr>
        <w:rPr>
          <w:rFonts w:ascii="Arial" w:eastAsia="Times New Roman" w:hAnsi="Arial" w:cs="Arial"/>
          <w:sz w:val="28"/>
          <w:szCs w:val="28"/>
        </w:rPr>
      </w:pPr>
      <w:r>
        <w:rPr>
          <w:rFonts w:ascii="Arial" w:eastAsia="Times New Roman" w:hAnsi="Arial" w:cs="Arial"/>
          <w:sz w:val="28"/>
          <w:szCs w:val="28"/>
        </w:rPr>
        <w:t>QEH Time Frames</w:t>
      </w:r>
    </w:p>
    <w:p w:rsidR="008C4378" w:rsidRDefault="008C4378" w:rsidP="008C4378">
      <w:pPr>
        <w:jc w:val="both"/>
        <w:rPr>
          <w:rFonts w:ascii="Arial" w:eastAsia="Times New Roman" w:hAnsi="Arial" w:cs="Arial"/>
        </w:rPr>
      </w:pPr>
      <w:r w:rsidRPr="008C4378">
        <w:rPr>
          <w:rFonts w:ascii="Arial" w:eastAsia="Times New Roman" w:hAnsi="Arial" w:cs="Arial"/>
        </w:rPr>
        <w:t xml:space="preserve">One unit of stock platelets is kept on site. For other routine platelet orders they should be requested by clinicians via the Transfusion Laboratory before the cut off time to allow for routine delivery. We have one delivery per day.  </w:t>
      </w:r>
    </w:p>
    <w:p w:rsidR="001318BA" w:rsidRPr="008C4378" w:rsidRDefault="001318BA" w:rsidP="008C4378">
      <w:pPr>
        <w:jc w:val="both"/>
        <w:rPr>
          <w:rFonts w:ascii="Arial" w:eastAsia="Times New Roman" w:hAnsi="Arial" w:cs="Arial"/>
        </w:rPr>
      </w:pPr>
      <w:bookmarkStart w:id="0" w:name="_GoBack"/>
      <w:bookmarkEnd w:id="0"/>
    </w:p>
    <w:p w:rsidR="008C4378" w:rsidRPr="008C4378" w:rsidRDefault="008C4378" w:rsidP="008C4378">
      <w:pPr>
        <w:spacing w:line="240" w:lineRule="auto"/>
        <w:rPr>
          <w:rFonts w:ascii="Arial" w:eastAsia="Times New Roman" w:hAnsi="Arial" w:cs="Arial"/>
        </w:rPr>
      </w:pPr>
    </w:p>
    <w:tbl>
      <w:tblPr>
        <w:tblStyle w:val="TableGrid"/>
        <w:tblW w:w="0" w:type="auto"/>
        <w:jc w:val="center"/>
        <w:tblInd w:w="1951" w:type="dxa"/>
        <w:tblLook w:val="04A0" w:firstRow="1" w:lastRow="0" w:firstColumn="1" w:lastColumn="0" w:noHBand="0" w:noVBand="1"/>
      </w:tblPr>
      <w:tblGrid>
        <w:gridCol w:w="2670"/>
        <w:gridCol w:w="2575"/>
      </w:tblGrid>
      <w:tr w:rsidR="008C4378" w:rsidRPr="008C4378" w:rsidTr="00FF42C8">
        <w:trPr>
          <w:jc w:val="center"/>
        </w:trPr>
        <w:tc>
          <w:tcPr>
            <w:tcW w:w="2670" w:type="dxa"/>
          </w:tcPr>
          <w:p w:rsidR="008C4378" w:rsidRPr="008C4378" w:rsidRDefault="008C4378" w:rsidP="00166DE7">
            <w:pPr>
              <w:rPr>
                <w:rFonts w:ascii="Arial" w:hAnsi="Arial" w:cs="Arial"/>
                <w:sz w:val="22"/>
                <w:szCs w:val="22"/>
              </w:rPr>
            </w:pPr>
            <w:r w:rsidRPr="008C4378">
              <w:rPr>
                <w:rFonts w:ascii="Arial" w:hAnsi="Arial" w:cs="Arial"/>
                <w:sz w:val="22"/>
                <w:szCs w:val="22"/>
              </w:rPr>
              <w:lastRenderedPageBreak/>
              <w:t>Order cut off time</w:t>
            </w:r>
          </w:p>
        </w:tc>
        <w:tc>
          <w:tcPr>
            <w:tcW w:w="2575" w:type="dxa"/>
          </w:tcPr>
          <w:p w:rsidR="008C4378" w:rsidRPr="008C4378" w:rsidRDefault="008C4378" w:rsidP="00166DE7">
            <w:pPr>
              <w:rPr>
                <w:rFonts w:ascii="Arial" w:hAnsi="Arial" w:cs="Arial"/>
                <w:sz w:val="22"/>
                <w:szCs w:val="22"/>
              </w:rPr>
            </w:pPr>
            <w:r w:rsidRPr="008C4378">
              <w:rPr>
                <w:rFonts w:ascii="Arial" w:hAnsi="Arial" w:cs="Arial"/>
                <w:sz w:val="22"/>
                <w:szCs w:val="22"/>
              </w:rPr>
              <w:t>Expected time of delivery</w:t>
            </w:r>
          </w:p>
        </w:tc>
      </w:tr>
      <w:tr w:rsidR="008C4378" w:rsidRPr="008C4378" w:rsidTr="00FF42C8">
        <w:trPr>
          <w:jc w:val="center"/>
        </w:trPr>
        <w:tc>
          <w:tcPr>
            <w:tcW w:w="2670" w:type="dxa"/>
          </w:tcPr>
          <w:p w:rsidR="008C4378" w:rsidRPr="008C4378" w:rsidRDefault="008C4378" w:rsidP="00166DE7">
            <w:pPr>
              <w:jc w:val="center"/>
              <w:rPr>
                <w:rFonts w:ascii="Arial" w:hAnsi="Arial" w:cs="Arial"/>
                <w:sz w:val="22"/>
                <w:szCs w:val="22"/>
              </w:rPr>
            </w:pPr>
            <w:r w:rsidRPr="008C4378">
              <w:rPr>
                <w:rFonts w:ascii="Arial" w:hAnsi="Arial" w:cs="Arial"/>
                <w:sz w:val="22"/>
                <w:szCs w:val="22"/>
              </w:rPr>
              <w:t>09.00</w:t>
            </w:r>
          </w:p>
        </w:tc>
        <w:tc>
          <w:tcPr>
            <w:tcW w:w="2575" w:type="dxa"/>
          </w:tcPr>
          <w:p w:rsidR="008C4378" w:rsidRPr="008C4378" w:rsidRDefault="008C4378" w:rsidP="00166DE7">
            <w:pPr>
              <w:jc w:val="center"/>
              <w:rPr>
                <w:rFonts w:ascii="Arial" w:hAnsi="Arial" w:cs="Arial"/>
                <w:sz w:val="22"/>
                <w:szCs w:val="22"/>
              </w:rPr>
            </w:pPr>
            <w:r w:rsidRPr="008C4378">
              <w:rPr>
                <w:rFonts w:ascii="Arial" w:hAnsi="Arial" w:cs="Arial"/>
                <w:sz w:val="22"/>
                <w:szCs w:val="22"/>
              </w:rPr>
              <w:t>13.00</w:t>
            </w:r>
          </w:p>
        </w:tc>
      </w:tr>
    </w:tbl>
    <w:p w:rsidR="008C4378" w:rsidRPr="008C4378" w:rsidRDefault="008C4378" w:rsidP="008C4378">
      <w:pPr>
        <w:spacing w:line="240" w:lineRule="auto"/>
        <w:rPr>
          <w:rFonts w:ascii="Arial" w:eastAsia="Times New Roman" w:hAnsi="Arial" w:cs="Arial"/>
        </w:rPr>
      </w:pPr>
    </w:p>
    <w:p w:rsidR="008C4378" w:rsidRPr="008C4378" w:rsidRDefault="008C4378" w:rsidP="008C4378">
      <w:pPr>
        <w:jc w:val="both"/>
        <w:rPr>
          <w:rFonts w:ascii="Arial" w:eastAsia="Times New Roman" w:hAnsi="Arial" w:cs="Arial"/>
        </w:rPr>
      </w:pPr>
      <w:r w:rsidRPr="008C4378">
        <w:rPr>
          <w:rFonts w:ascii="Arial" w:eastAsia="Times New Roman" w:hAnsi="Arial" w:cs="Arial"/>
        </w:rPr>
        <w:t xml:space="preserve">Delivery times for urgent blood components runs at approximately 2 hours from Cambridge and adds additional costs to the trust for both ad hoc van deliveries and “Blue Light” deliveries. </w:t>
      </w:r>
    </w:p>
    <w:p w:rsidR="008C4378" w:rsidRDefault="008C4378"/>
    <w:sectPr w:rsidR="008C43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D1" w:rsidRDefault="00B657D1" w:rsidP="006B7D00">
      <w:pPr>
        <w:spacing w:after="0" w:line="240" w:lineRule="auto"/>
      </w:pPr>
      <w:r>
        <w:separator/>
      </w:r>
    </w:p>
  </w:endnote>
  <w:endnote w:type="continuationSeparator" w:id="0">
    <w:p w:rsidR="00B657D1" w:rsidRDefault="00B657D1" w:rsidP="006B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D1" w:rsidRDefault="00B657D1" w:rsidP="006B7D00">
      <w:pPr>
        <w:spacing w:after="0" w:line="240" w:lineRule="auto"/>
      </w:pPr>
      <w:r>
        <w:separator/>
      </w:r>
    </w:p>
  </w:footnote>
  <w:footnote w:type="continuationSeparator" w:id="0">
    <w:p w:rsidR="00B657D1" w:rsidRDefault="00B657D1" w:rsidP="006B7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00" w:rsidRDefault="00A43487">
    <w:pPr>
      <w:pStyle w:val="Header"/>
    </w:pPr>
    <w:r>
      <w:t>EWT-D-002 Last updated</w:t>
    </w:r>
    <w:r w:rsidR="001318BA">
      <w:t xml:space="preserve"> 15/12/2021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00"/>
    <w:rsid w:val="001318BA"/>
    <w:rsid w:val="00236F2A"/>
    <w:rsid w:val="003134D6"/>
    <w:rsid w:val="006B7D00"/>
    <w:rsid w:val="008C4378"/>
    <w:rsid w:val="0093536A"/>
    <w:rsid w:val="00A43487"/>
    <w:rsid w:val="00B657D1"/>
    <w:rsid w:val="00EF7B89"/>
    <w:rsid w:val="00F24A28"/>
    <w:rsid w:val="00FF4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0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D00"/>
    <w:rPr>
      <w:rFonts w:eastAsiaTheme="minorEastAsia"/>
      <w:lang w:eastAsia="en-GB"/>
    </w:rPr>
  </w:style>
  <w:style w:type="paragraph" w:styleId="Footer">
    <w:name w:val="footer"/>
    <w:basedOn w:val="Normal"/>
    <w:link w:val="FooterChar"/>
    <w:uiPriority w:val="99"/>
    <w:unhideWhenUsed/>
    <w:rsid w:val="006B7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D00"/>
    <w:rPr>
      <w:rFonts w:eastAsiaTheme="minorEastAsia"/>
      <w:lang w:eastAsia="en-GB"/>
    </w:rPr>
  </w:style>
  <w:style w:type="paragraph" w:styleId="NormalWeb">
    <w:name w:val="Normal (Web)"/>
    <w:basedOn w:val="Normal"/>
    <w:uiPriority w:val="99"/>
    <w:unhideWhenUsed/>
    <w:rsid w:val="008C43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C437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0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D00"/>
    <w:rPr>
      <w:rFonts w:eastAsiaTheme="minorEastAsia"/>
      <w:lang w:eastAsia="en-GB"/>
    </w:rPr>
  </w:style>
  <w:style w:type="paragraph" w:styleId="Footer">
    <w:name w:val="footer"/>
    <w:basedOn w:val="Normal"/>
    <w:link w:val="FooterChar"/>
    <w:uiPriority w:val="99"/>
    <w:unhideWhenUsed/>
    <w:rsid w:val="006B7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D00"/>
    <w:rPr>
      <w:rFonts w:eastAsiaTheme="minorEastAsia"/>
      <w:lang w:eastAsia="en-GB"/>
    </w:rPr>
  </w:style>
  <w:style w:type="paragraph" w:styleId="NormalWeb">
    <w:name w:val="Normal (Web)"/>
    <w:basedOn w:val="Normal"/>
    <w:uiPriority w:val="99"/>
    <w:unhideWhenUsed/>
    <w:rsid w:val="008C43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C437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NNUH</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Marley, Ginny (NNUHFT)</dc:creator>
  <cp:lastModifiedBy>Marley, Ginny (NNUHFT)</cp:lastModifiedBy>
  <cp:revision>3</cp:revision>
  <dcterms:created xsi:type="dcterms:W3CDTF">2021-12-15T09:30:00Z</dcterms:created>
  <dcterms:modified xsi:type="dcterms:W3CDTF">2021-12-15T10:07:00Z</dcterms:modified>
</cp:coreProperties>
</file>